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42BAD" w:rsidRDefault="00B42BAD" w:rsidP="007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B42BAD" w:rsidRPr="00794AD7" w:rsidRDefault="00B42BAD" w:rsidP="007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A000A5" w:rsidRPr="00794AD7" w:rsidRDefault="0011003C" w:rsidP="0079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AD7">
        <w:rPr>
          <w:rFonts w:ascii="Times New Roman" w:hAnsi="Times New Roman" w:cs="Times New Roman"/>
          <w:sz w:val="28"/>
          <w:szCs w:val="28"/>
        </w:rPr>
        <w:t>29</w:t>
      </w:r>
      <w:r w:rsidR="00A73272" w:rsidRPr="00794AD7">
        <w:rPr>
          <w:rFonts w:ascii="Times New Roman" w:hAnsi="Times New Roman" w:cs="Times New Roman"/>
          <w:sz w:val="28"/>
          <w:szCs w:val="28"/>
        </w:rPr>
        <w:t>.</w:t>
      </w:r>
      <w:r w:rsidRPr="00794AD7">
        <w:rPr>
          <w:rFonts w:ascii="Times New Roman" w:hAnsi="Times New Roman" w:cs="Times New Roman"/>
          <w:sz w:val="28"/>
          <w:szCs w:val="28"/>
        </w:rPr>
        <w:t>12</w:t>
      </w:r>
      <w:r w:rsidR="00A000A5" w:rsidRPr="00794AD7">
        <w:rPr>
          <w:rFonts w:ascii="Times New Roman" w:hAnsi="Times New Roman" w:cs="Times New Roman"/>
          <w:sz w:val="28"/>
          <w:szCs w:val="28"/>
        </w:rPr>
        <w:t>.20</w:t>
      </w:r>
      <w:r w:rsidR="00A73272" w:rsidRPr="00794AD7">
        <w:rPr>
          <w:rFonts w:ascii="Times New Roman" w:hAnsi="Times New Roman" w:cs="Times New Roman"/>
          <w:sz w:val="28"/>
          <w:szCs w:val="28"/>
        </w:rPr>
        <w:t>20</w:t>
      </w:r>
      <w:r w:rsidR="00A000A5" w:rsidRPr="00794AD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94AD7" w:rsidRPr="00794AD7" w:rsidRDefault="00794AD7" w:rsidP="0079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D7">
        <w:rPr>
          <w:rFonts w:ascii="Times New Roman" w:hAnsi="Times New Roman" w:cs="Times New Roman"/>
          <w:sz w:val="28"/>
          <w:szCs w:val="28"/>
        </w:rPr>
        <w:t>Протокол № 4</w:t>
      </w:r>
    </w:p>
    <w:p w:rsidR="00794AD7" w:rsidRPr="00794AD7" w:rsidRDefault="00794AD7" w:rsidP="0079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A5" w:rsidRPr="00794AD7" w:rsidRDefault="00A000A5" w:rsidP="0079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D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00A5" w:rsidRPr="00794AD7" w:rsidRDefault="00A000A5" w:rsidP="0079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3F" w:rsidRPr="00794AD7" w:rsidRDefault="00871E3F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1003C"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образовательного процесса. Состояние и перспективы развития электронного обучения в филиале</w:t>
      </w:r>
    </w:p>
    <w:p w:rsidR="00871E3F" w:rsidRPr="00931966" w:rsidRDefault="00871E3F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заместитель директора по учебной работе Долганова Ж.А.</w:t>
      </w:r>
      <w:r w:rsidR="0011003C"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руководитель ЦНИТ – Мочалов И.М.</w:t>
      </w:r>
    </w:p>
    <w:p w:rsidR="00931966" w:rsidRDefault="0011003C" w:rsidP="0086325E">
      <w:pPr>
        <w:tabs>
          <w:tab w:val="left" w:pos="325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1003C" w:rsidRPr="00794AD7" w:rsidRDefault="00931966" w:rsidP="0086325E">
      <w:pPr>
        <w:tabs>
          <w:tab w:val="left" w:pos="325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71E3F"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11003C"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взаимодействии с работодателями по реализации технологии практико-ориентированного обучения</w:t>
      </w:r>
    </w:p>
    <w:p w:rsidR="00871E3F" w:rsidRPr="00794AD7" w:rsidRDefault="00871E3F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</w:t>
      </w:r>
      <w:r w:rsidR="0011003C"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по учебной работе Долганова Ж.А.</w:t>
      </w:r>
    </w:p>
    <w:p w:rsidR="00931966" w:rsidRDefault="00931966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AD7" w:rsidRDefault="00871E3F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Разное.</w:t>
      </w:r>
    </w:p>
    <w:p w:rsidR="00794AD7" w:rsidRDefault="00794AD7" w:rsidP="00794A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AD7" w:rsidRDefault="00794AD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первому вопросу слушали </w:t>
      </w: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заместителя директора по учебной работе Долганову Ж.А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931966" w:rsidRDefault="00A3771E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сновные сводные данные по учебно-методическому обеспечению образовательного процесса представлены в сводных таблицах. Данные представлены как в абсолютных, так и в относительных показателях. Анализ представленных таблиц позволяет сделать следующие выводы. </w:t>
      </w:r>
      <w:r w:rsidR="0033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Филиал полностью обеспечивает учебный процесс рабочими программами дисциплин и рабочими программами практик по всем реализуемым специальностям и направлениям подготовки.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сравнении с предыдущим периодом (2019-2020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значительно активизировалась работа по формированию Фондов оценочных средств на специальности «Горное дело», преимущественно на специализациях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"Подземная разработка пластовых месторождений", "Открытые горные работы"</w:t>
      </w:r>
      <w:r w:rsidR="00330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Довольно сложной остается ситуация с ФОС в рамках специализации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"Горные машины и оборудование"</w:t>
      </w:r>
      <w:r w:rsidR="00330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0701" w:rsidRDefault="00330701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Очевидную обеспокоенность вызывает формирование учебно-методического обеспечения курсовых проектов и курсовых работ по специальности Горное дело, специализация "Горные машины и оборудование". При подготовке методических требований к курсовым проектам и курсовым работам необходимо обращать пристальное внимание на актуальность и практическую значимость тематики выполняемых студентами работ.</w:t>
      </w:r>
    </w:p>
    <w:p w:rsidR="00330701" w:rsidRDefault="00330701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Отсутствуют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ГИА на специальности 21.05.04 Горное дело специализация "Горные машины и оборудование" и направлении подготовки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20.03.01.01.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безопасность". Отрицательная динамика на специальности 38.05.01 "Экономическая безопасность" объясняется объективными причинами: в учебный план специальности внесены корректировки в части введения нескольких новых, ранее не реализуем</w:t>
      </w:r>
      <w:r w:rsidR="006B71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ых дисциплин, а также в связи с тем, что часть учебно-методического обеспечения требует регулярного обновления. </w:t>
      </w:r>
    </w:p>
    <w:p w:rsidR="006B71B0" w:rsidRDefault="006B71B0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за исключением фондов оценочных средств размещены на сайте филиала в электронном виде, активно используются студентами и преподавателями в учебном процессе. </w:t>
      </w:r>
    </w:p>
    <w:p w:rsidR="00330701" w:rsidRPr="00330701" w:rsidRDefault="00330701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276"/>
        <w:gridCol w:w="850"/>
        <w:gridCol w:w="1134"/>
        <w:gridCol w:w="1134"/>
        <w:gridCol w:w="1134"/>
        <w:gridCol w:w="851"/>
      </w:tblGrid>
      <w:tr w:rsidR="00264B53" w:rsidRPr="00264B53" w:rsidTr="00264B53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21.05.04 Горное дело "Открытые горные работы"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B53" w:rsidRPr="00264B53" w:rsidTr="00264B53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Дисциплина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РП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Программа практик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Лабор</w:t>
            </w:r>
            <w:proofErr w:type="spellEnd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См</w:t>
            </w:r>
            <w:proofErr w:type="gramEnd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КР</w:t>
            </w:r>
            <w:proofErr w:type="gramEnd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ФОСы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Тесты &gt;100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пособия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lang w:eastAsia="ru-RU"/>
              </w:rPr>
              <w:t>ФОС ГИА</w:t>
            </w:r>
          </w:p>
        </w:tc>
      </w:tr>
      <w:tr w:rsidR="00264B53" w:rsidRPr="00264B53" w:rsidTr="00264B53">
        <w:trPr>
          <w:trHeight w:val="315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lang w:eastAsia="ru-RU"/>
              </w:rPr>
              <w:t>Всего 66 дисциплин по планам 2015-2019 гг.</w:t>
            </w:r>
          </w:p>
        </w:tc>
      </w:tr>
      <w:tr w:rsidR="00264B53" w:rsidRPr="00264B53" w:rsidTr="00931966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lang w:eastAsia="ru-RU"/>
              </w:rPr>
              <w:t>Вместе с новыми дисциплинами плана 2020 года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48/65,8%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31/ 42,5%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из 7/86%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31/42,5%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37/50,7%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53/72,6%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3" w:rsidRPr="00264B53" w:rsidRDefault="00264B53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</w:tr>
    </w:tbl>
    <w:p w:rsidR="00931966" w:rsidRDefault="00931966" w:rsidP="0086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276"/>
        <w:gridCol w:w="850"/>
        <w:gridCol w:w="1134"/>
        <w:gridCol w:w="1134"/>
        <w:gridCol w:w="1134"/>
        <w:gridCol w:w="471"/>
        <w:gridCol w:w="380"/>
      </w:tblGrid>
      <w:tr w:rsidR="00931966" w:rsidRPr="00931966" w:rsidTr="00931966">
        <w:trPr>
          <w:trHeight w:val="375"/>
        </w:trPr>
        <w:tc>
          <w:tcPr>
            <w:tcW w:w="10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21.05.04 Горное дело "Подземная разработка пластовых месторождений"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966" w:rsidRPr="00931966" w:rsidTr="00931966">
        <w:trPr>
          <w:trHeight w:val="31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Всего 64 дисциплин по планам 2015-2019 гг.</w:t>
            </w:r>
          </w:p>
        </w:tc>
      </w:tr>
      <w:tr w:rsidR="00931966" w:rsidRPr="00931966" w:rsidTr="00931966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Вместе с новыми дисциплинами плана 2020 года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43/65,2%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27/41%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24/36,4%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25/37,9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48/72,7%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</w:tr>
      <w:tr w:rsidR="00931966" w:rsidRPr="00931966" w:rsidTr="00931966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21.05.04 Горное дело "Горные машины и оборудование"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31966" w:rsidRPr="00931966" w:rsidTr="00931966">
        <w:trPr>
          <w:trHeight w:val="31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Всего 72 дисциплины по планам 2017-2019 гг.</w:t>
            </w:r>
          </w:p>
        </w:tc>
      </w:tr>
      <w:tr w:rsidR="00931966" w:rsidRPr="00931966" w:rsidTr="00931966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Вместе с новыми дисциплинами плана 2020 года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39/52,7%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22/29,7%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из 7/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21/28,4%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17/23%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56/75,7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0/0%</w:t>
            </w:r>
          </w:p>
        </w:tc>
      </w:tr>
      <w:tr w:rsidR="00931966" w:rsidRPr="00931966" w:rsidTr="00931966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20.03.01.01. "</w:t>
            </w:r>
            <w:proofErr w:type="spellStart"/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безопасность"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31966" w:rsidRPr="00931966" w:rsidTr="00931966">
        <w:trPr>
          <w:trHeight w:val="31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Всего 53 дисциплины по планам 2017-2019 гг.</w:t>
            </w:r>
          </w:p>
        </w:tc>
      </w:tr>
      <w:tr w:rsidR="00931966" w:rsidRPr="00931966" w:rsidTr="00931966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Вместе с новыми дисциплинами плана 2020 года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43/66,6%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20/28,2%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26/36,6%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21/29,6%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37/52,1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0/0%</w:t>
            </w:r>
          </w:p>
        </w:tc>
      </w:tr>
      <w:tr w:rsidR="00931966" w:rsidRPr="00931966" w:rsidTr="00931966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38.05.01 "Экономическая безопасность"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31966" w:rsidRPr="00931966" w:rsidTr="00931966">
        <w:trPr>
          <w:trHeight w:val="31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Всего 71 дисциплины по планам 2015-2019 гг.</w:t>
            </w:r>
          </w:p>
        </w:tc>
      </w:tr>
      <w:tr w:rsidR="00931966" w:rsidRPr="00931966" w:rsidTr="00931966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Вместе с новыми дисциплинами плана 2020 года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65/84,4%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57/74%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60/77,9%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58/75,3%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41/53,3%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</w:tr>
    </w:tbl>
    <w:p w:rsidR="00A3771E" w:rsidRDefault="00A3771E" w:rsidP="0086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330701" w:rsidRPr="00330701" w:rsidRDefault="00330701" w:rsidP="0086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в сравнении с 2019-2020 учебным годом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70"/>
        <w:gridCol w:w="128"/>
        <w:gridCol w:w="954"/>
        <w:gridCol w:w="1134"/>
        <w:gridCol w:w="1560"/>
        <w:gridCol w:w="1275"/>
        <w:gridCol w:w="1418"/>
        <w:gridCol w:w="1134"/>
        <w:gridCol w:w="1276"/>
        <w:gridCol w:w="992"/>
      </w:tblGrid>
      <w:tr w:rsidR="00931966" w:rsidRPr="00931966" w:rsidTr="00A3771E">
        <w:trPr>
          <w:trHeight w:val="375"/>
        </w:trPr>
        <w:tc>
          <w:tcPr>
            <w:tcW w:w="11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21.05.04 Горное дело "Открытые горные работы"</w:t>
            </w:r>
          </w:p>
        </w:tc>
      </w:tr>
      <w:tr w:rsidR="00931966" w:rsidRPr="00931966" w:rsidTr="00A3771E">
        <w:trPr>
          <w:trHeight w:val="945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практик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</w:t>
            </w:r>
            <w:proofErr w:type="spellEnd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Start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ФОСы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&gt;100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ФОС ГИА</w:t>
            </w:r>
          </w:p>
        </w:tc>
      </w:tr>
      <w:tr w:rsidR="00931966" w:rsidRPr="00A3771E" w:rsidTr="00A3771E">
        <w:trPr>
          <w:trHeight w:val="630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lang w:eastAsia="ru-RU"/>
              </w:rPr>
              <w:t>В сравнении с 2019-2020 учебным годом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61%/65,8%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40%/ 42,5%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86%/86%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lang w:eastAsia="ru-RU"/>
              </w:rPr>
              <w:t>56%/50,7%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100%</w:t>
            </w:r>
          </w:p>
        </w:tc>
      </w:tr>
      <w:tr w:rsidR="00931966" w:rsidRPr="00931966" w:rsidTr="00A3771E">
        <w:trPr>
          <w:trHeight w:val="375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21.05.04 Горное дело "Подземная разработка пластовых месторождений"</w:t>
            </w:r>
          </w:p>
        </w:tc>
      </w:tr>
      <w:tr w:rsidR="00931966" w:rsidRPr="00931966" w:rsidTr="00A3771E">
        <w:trPr>
          <w:trHeight w:val="630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2019-2020 учебным годом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97/%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58%/65,2%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39%/41%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100%/100%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3771E" w:rsidRPr="00931966" w:rsidTr="00A3771E">
        <w:trPr>
          <w:gridAfter w:val="1"/>
          <w:wAfter w:w="992" w:type="dxa"/>
          <w:trHeight w:val="37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21.05.04 Горное дело "Горные машины и оборудование"</w:t>
            </w:r>
          </w:p>
        </w:tc>
      </w:tr>
      <w:tr w:rsidR="00931966" w:rsidRPr="00931966" w:rsidTr="00A3771E">
        <w:trPr>
          <w:trHeight w:val="630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2019-2020 учебным годом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44%/52,7%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33%/57,1%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24%/23%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A3771E" w:rsidRPr="00931966" w:rsidTr="00A3771E">
        <w:trPr>
          <w:gridAfter w:val="1"/>
          <w:wAfter w:w="992" w:type="dxa"/>
          <w:trHeight w:val="37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20.03.01.01. "</w:t>
            </w:r>
            <w:proofErr w:type="spellStart"/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безопасность"</w:t>
            </w:r>
          </w:p>
        </w:tc>
      </w:tr>
      <w:tr w:rsidR="00931966" w:rsidRPr="00931966" w:rsidTr="00A3771E">
        <w:trPr>
          <w:trHeight w:val="630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2019-2020 учебным годом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41%/66,6%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25%/100%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A3771E" w:rsidRPr="00931966" w:rsidTr="00A3771E">
        <w:trPr>
          <w:gridAfter w:val="1"/>
          <w:wAfter w:w="992" w:type="dxa"/>
          <w:trHeight w:val="37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38.05.01 "Экономическая безопасность"</w:t>
            </w:r>
          </w:p>
        </w:tc>
      </w:tr>
      <w:tr w:rsidR="00A3771E" w:rsidRPr="00931966" w:rsidTr="00A3771E">
        <w:trPr>
          <w:trHeight w:val="6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66" w:rsidRPr="00931966" w:rsidRDefault="00931966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2019-2020 учебным годом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94%/84,4%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91%/74%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100%/100%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E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50%/</w:t>
            </w:r>
          </w:p>
          <w:p w:rsidR="00931966" w:rsidRPr="00931966" w:rsidRDefault="00931966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86C87" w:rsidRPr="00286C87" w:rsidRDefault="00286C87" w:rsidP="0086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87">
        <w:rPr>
          <w:rFonts w:ascii="Times New Roman" w:hAnsi="Times New Roman" w:cs="Times New Roman"/>
          <w:b/>
          <w:sz w:val="28"/>
          <w:szCs w:val="28"/>
        </w:rPr>
        <w:t xml:space="preserve">Анализ наличия учебно-методического обеспечения образовательных программ в филиале </w:t>
      </w:r>
      <w:proofErr w:type="spellStart"/>
      <w:r w:rsidRPr="00286C87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286C87">
        <w:rPr>
          <w:rFonts w:ascii="Times New Roman" w:hAnsi="Times New Roman" w:cs="Times New Roman"/>
          <w:b/>
          <w:sz w:val="28"/>
          <w:szCs w:val="28"/>
        </w:rPr>
        <w:t xml:space="preserve"> в г. Белово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10"/>
        <w:gridCol w:w="708"/>
        <w:gridCol w:w="851"/>
        <w:gridCol w:w="567"/>
        <w:gridCol w:w="709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552D10" w:rsidRPr="00552D10" w:rsidTr="00552D10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К-во</w:t>
            </w:r>
            <w:proofErr w:type="gramEnd"/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</w:t>
            </w:r>
            <w:proofErr w:type="spellEnd"/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-ин по УП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Р.П.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Лаб./ Пр.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/КП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ФОСы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Тесты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УМКД</w:t>
            </w:r>
          </w:p>
        </w:tc>
      </w:tr>
      <w:tr w:rsidR="00552D10" w:rsidRPr="00552D10" w:rsidTr="00552D10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</w:p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552D10" w:rsidRPr="00552D10" w:rsidTr="00552D1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</w:tr>
      <w:tr w:rsidR="00552D10" w:rsidRPr="00552D10" w:rsidTr="00552D10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</w:tr>
      <w:tr w:rsidR="00552D10" w:rsidRPr="00552D10" w:rsidTr="00552D1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</w:tr>
      <w:tr w:rsidR="00552D10" w:rsidRPr="00552D10" w:rsidTr="00552D1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52D10" w:rsidRPr="00552D10" w:rsidTr="00552D10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ЭБс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0" w:rsidRPr="00552D10" w:rsidRDefault="00552D10" w:rsidP="008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D10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</w:tbl>
    <w:p w:rsidR="00286C87" w:rsidRPr="00286C87" w:rsidRDefault="00286C87" w:rsidP="00863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87" w:rsidRPr="00286C87" w:rsidRDefault="00286C87" w:rsidP="0086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87">
        <w:rPr>
          <w:rFonts w:ascii="Times New Roman" w:hAnsi="Times New Roman" w:cs="Times New Roman"/>
          <w:b/>
          <w:sz w:val="28"/>
          <w:szCs w:val="28"/>
        </w:rPr>
        <w:t xml:space="preserve">Анализ наличия методических указаний, утвержденных в филиале </w:t>
      </w:r>
      <w:proofErr w:type="spellStart"/>
      <w:r w:rsidRPr="00286C87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286C87">
        <w:rPr>
          <w:rFonts w:ascii="Times New Roman" w:hAnsi="Times New Roman" w:cs="Times New Roman"/>
          <w:b/>
          <w:sz w:val="28"/>
          <w:szCs w:val="28"/>
        </w:rPr>
        <w:t xml:space="preserve"> в г. Белово</w:t>
      </w:r>
    </w:p>
    <w:p w:rsidR="00286C87" w:rsidRPr="00286C87" w:rsidRDefault="00286C87" w:rsidP="0086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87">
        <w:rPr>
          <w:rFonts w:ascii="Times New Roman" w:hAnsi="Times New Roman" w:cs="Times New Roman"/>
          <w:b/>
          <w:sz w:val="28"/>
          <w:szCs w:val="28"/>
        </w:rPr>
        <w:t xml:space="preserve">за 2015-2020 </w:t>
      </w:r>
      <w:proofErr w:type="spellStart"/>
      <w:r w:rsidRPr="00286C8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286C87">
        <w:rPr>
          <w:rFonts w:ascii="Times New Roman" w:hAnsi="Times New Roman" w:cs="Times New Roman"/>
          <w:b/>
          <w:sz w:val="28"/>
          <w:szCs w:val="28"/>
        </w:rPr>
        <w:t>. (дисциплин и наименований)</w:t>
      </w:r>
    </w:p>
    <w:p w:rsidR="00286C87" w:rsidRPr="00286C87" w:rsidRDefault="00286C87" w:rsidP="00863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552D10" w:rsidRPr="00552D10" w:rsidTr="00552D10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552D10" w:rsidRDefault="00286C87" w:rsidP="0086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D1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552D10" w:rsidP="0086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 (все специализации</w:t>
            </w:r>
            <w:r w:rsidR="00286C87" w:rsidRPr="00286C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 xml:space="preserve">ГЭ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2D10" w:rsidRPr="00286C87" w:rsidTr="00552D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87" w:rsidRPr="00286C87" w:rsidRDefault="00286C87" w:rsidP="0086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8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286C87" w:rsidRDefault="00286C87" w:rsidP="0086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Обсуждение доклада:</w:t>
      </w:r>
    </w:p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в связи с тем, что материалы, направленные на обеспечение учебного процесса, могут быть проанализированы экспертами по государственной аккредитации, они должны быть четко структурированы и проходить процедуру регулярного обновления. </w:t>
      </w:r>
    </w:p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Зав. кафедрой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ГДиТБ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Белов В.Ф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при формировании электронной страницы дисциплины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УМКД) должна учитываться специфика дисциплины. </w:t>
      </w:r>
    </w:p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Зав. кафедрой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ЭБиМ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Верчагина И.Ю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штатные преподаватели филиала не только активно формируют страницы своих учебных дисциплин, но и следят за их обновлением. При этом преподаватели головного вуза менее активно включены в эту работу.</w:t>
      </w:r>
    </w:p>
    <w:p w:rsidR="00931966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52D10" w:rsidRPr="00552D10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учебно-методическому обеспечению образовательного процесса удовлетворительной. </w:t>
      </w:r>
    </w:p>
    <w:p w:rsidR="00931966" w:rsidRDefault="00931966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заместителя директора по учебной работе Долганову Ж.А. и начальника отдела дополнительного образования филиала Котову Л.Н.</w:t>
      </w:r>
    </w:p>
    <w:p w:rsidR="00696FCB" w:rsidRDefault="00696FCB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6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Долганова Ж.А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течение отчетного периода все студенты филиала были обеспечены местами для прохождения практик различного вида, однако взаимодействи</w:t>
      </w:r>
      <w:r w:rsidR="008F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работодателями </w:t>
      </w:r>
      <w:r w:rsidR="008F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последний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осложняется. </w:t>
      </w:r>
      <w:r w:rsidR="008F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связано с тем, что в ситуации </w:t>
      </w:r>
      <w:proofErr w:type="spellStart"/>
      <w:r w:rsidR="008F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коронавирусных</w:t>
      </w:r>
      <w:proofErr w:type="spellEnd"/>
      <w:r w:rsidR="008F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ограничений работодатели не проявляют желания принимать на практику студентов. Студенты сталкиваются с требованиями предприятий о страховании и обязательном прохождении медицинской комиссии, что тоже осложняет ситуацию. Помимо этого, заключение долгосрочных договоров о прохождении практик на предприятиях осложняется тем, что собственники предприятий находятся за пределами региона. </w:t>
      </w:r>
    </w:p>
    <w:p w:rsidR="00F00A7A" w:rsidRDefault="00F00A7A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Представители предприятий-работодателей привлекаются к ведению образовательного процесса и работе в комиссиях ГИА. К учебному процессу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человек, к работе в ГЭК – 9 чел.</w:t>
      </w:r>
    </w:p>
    <w:p w:rsidR="00552D10" w:rsidRDefault="00696FCB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6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Котова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2D10" w:rsidRPr="00552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взаимодействию с социальными партнерами филиала в части предоставления услуг по дополнительному образованию </w:t>
      </w:r>
      <w:r w:rsidR="00552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представлены в обобщенном виде</w:t>
      </w:r>
      <w:proofErr w:type="gramEnd"/>
      <w:r w:rsidR="00552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таблицах.</w:t>
      </w:r>
      <w:r w:rsidR="00397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отчетного периода у филиала сложились стабильные партнерские отношения с потребителями образовательных услуг. В течение 2020 г. было заключено 27 договоров с различными организациями и предприятиями.</w:t>
      </w:r>
      <w:r w:rsidR="008F7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2020 г. был заключен договор с предприятием, находящимся вне пределов региона.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Помимо этого идет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лиц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индивидуальным договорам. Отделом подготовлены разнообразные програм</w:t>
      </w:r>
      <w:r w:rsidR="00F00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дополнительного образования, однако ситуация на рынке образовательных услуг территории осложняется тем, что крупные предприятия все более активно формируют собственные образовательные центры, сокращая подготовку своих работников на базе филиала. </w:t>
      </w:r>
    </w:p>
    <w:p w:rsidR="008F75CD" w:rsidRDefault="008F75CD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Обсуждение 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75CD" w:rsidRDefault="008F75CD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необходимо </w:t>
      </w:r>
      <w:r w:rsidR="00F0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возможность расширения спектра образовательных программ дополнительного образования. </w:t>
      </w:r>
    </w:p>
    <w:p w:rsidR="008F75CD" w:rsidRDefault="008F75CD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Руководитель АХС </w:t>
      </w:r>
      <w:proofErr w:type="spellStart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Сеничев</w:t>
      </w:r>
      <w:proofErr w:type="spellEnd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Н.Е.: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рассмотреть возможность подготовки по программе дополнительного образования Пожарная безопасность.</w:t>
      </w:r>
    </w:p>
    <w:p w:rsidR="0086325E" w:rsidRDefault="0086325E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52D10" w:rsidRDefault="00552D10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2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Договора с предприятиями на дополнительные образовательные услуги </w:t>
      </w:r>
      <w:r w:rsidRPr="00552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2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2020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6804"/>
        <w:gridCol w:w="1701"/>
      </w:tblGrid>
      <w:tr w:rsidR="00552D10" w:rsidRPr="00696FCB" w:rsidTr="00397DC3">
        <w:trPr>
          <w:trHeight w:val="68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организаций (предприятия)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договоров</w:t>
            </w:r>
          </w:p>
        </w:tc>
      </w:tr>
      <w:tr w:rsidR="00552D10" w:rsidRPr="00397DC3" w:rsidTr="00397DC3">
        <w:trPr>
          <w:trHeight w:val="219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АО «Сибирский Антрацит»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552D10" w:rsidRPr="00397DC3" w:rsidTr="00397DC3">
        <w:trPr>
          <w:trHeight w:val="184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«ШМУ»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2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АО «Разрез 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Инской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4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ЧОО «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Моховский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36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«ММК-УГОЛЬ»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552D10" w:rsidRPr="00397DC3" w:rsidTr="00397DC3">
        <w:trPr>
          <w:trHeight w:val="239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АО «СУЭК-КУЗБАСС»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552D10" w:rsidRPr="00397DC3" w:rsidTr="00397DC3">
        <w:trPr>
          <w:trHeight w:val="175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ЧОО «АВРОРА»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8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АО «Сибирский карьер»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3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«АВИК Оборудование и Инжиниринг»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18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«УК» «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Инская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Автобаза»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329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«Шахта «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Грамотеинская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136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ООО «Шахта 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им.С.Д.Тихова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526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АО «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Туганский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горно-обогатительный комбинат «Ильменит»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14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«УМД и РГШО»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3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«Разрез Киселевский»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18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ЗАО «Шахта «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Беловская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552D10" w:rsidRPr="00397DC3" w:rsidTr="00397DC3">
        <w:trPr>
          <w:trHeight w:val="25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D10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552D10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</w:tr>
    </w:tbl>
    <w:p w:rsidR="00552D10" w:rsidRDefault="00552D10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7DC3" w:rsidRPr="00397DC3" w:rsidRDefault="00397DC3" w:rsidP="008632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D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Дополните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льные образовательные программы </w:t>
      </w:r>
      <w:r w:rsidRPr="00397D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2020 год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1134"/>
        <w:gridCol w:w="6237"/>
        <w:gridCol w:w="1843"/>
      </w:tblGrid>
      <w:tr w:rsidR="00397DC3" w:rsidRPr="00696FCB" w:rsidTr="00397DC3">
        <w:trPr>
          <w:trHeight w:val="584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  <w:proofErr w:type="gramStart"/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 подготовки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программ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696FCB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6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обученных людей</w:t>
            </w:r>
          </w:p>
        </w:tc>
      </w:tr>
      <w:tr w:rsidR="00397DC3" w:rsidRPr="00397DC3" w:rsidTr="00397DC3">
        <w:trPr>
          <w:trHeight w:val="584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КПК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«Промышленная безопасность в угольной промышленности»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«Современные методы ведения маркшейдерских работ. Горное законодательство в области использования охраны недр»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«Право руководства взрывными работами в подземных выработках и на поверхности угольных и сланцевых шахт»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«Техническое состояние и организация эксплуатации энергоустановок»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«Новые направления в переработке и обогащении полезных ископаемых»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«Повышение квалификации руководителей и специалистов организаций, осуществляющих руководство взрывными работами на открытых горных работах»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397DC3" w:rsidRPr="00397DC3" w:rsidTr="00397DC3">
        <w:trPr>
          <w:trHeight w:val="347"/>
        </w:trPr>
        <w:tc>
          <w:tcPr>
            <w:tcW w:w="77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</w:tr>
      <w:tr w:rsidR="00397DC3" w:rsidRPr="00397DC3" w:rsidTr="00397DC3">
        <w:trPr>
          <w:trHeight w:val="343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ПП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«Подземная разработка пластовых месторождений»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«Открытые горные работы»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«Обогащение полезных ископаемых»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«Горные машины и оборудование»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Техносферная</w:t>
            </w:r>
            <w:proofErr w:type="spellEnd"/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безопасность»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«Экономика организаций и предприятий»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 (29,9%)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 (26,5%)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 (25,2%)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 (12,3%)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(2,7%)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(3,4%)</w:t>
            </w:r>
          </w:p>
        </w:tc>
      </w:tr>
      <w:tr w:rsidR="00397DC3" w:rsidRPr="00397DC3" w:rsidTr="00397DC3">
        <w:trPr>
          <w:trHeight w:val="276"/>
        </w:trPr>
        <w:tc>
          <w:tcPr>
            <w:tcW w:w="77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147</w:t>
            </w:r>
          </w:p>
        </w:tc>
      </w:tr>
      <w:tr w:rsidR="00397DC3" w:rsidRPr="00397DC3" w:rsidTr="00397DC3">
        <w:trPr>
          <w:trHeight w:val="1207"/>
        </w:trPr>
        <w:tc>
          <w:tcPr>
            <w:tcW w:w="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ПБ</w:t>
            </w:r>
          </w:p>
        </w:tc>
        <w:tc>
          <w:tcPr>
            <w:tcW w:w="6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«Основы промышленной безопасности»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«Специальные правила промышленной безопасности»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«Охрана труда»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108</w:t>
            </w:r>
          </w:p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104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131</w:t>
            </w:r>
          </w:p>
        </w:tc>
      </w:tr>
      <w:tr w:rsidR="00397DC3" w:rsidRPr="00397DC3" w:rsidTr="00397DC3">
        <w:trPr>
          <w:trHeight w:val="192"/>
        </w:trPr>
        <w:tc>
          <w:tcPr>
            <w:tcW w:w="77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343</w:t>
            </w:r>
          </w:p>
        </w:tc>
      </w:tr>
      <w:tr w:rsidR="00397DC3" w:rsidRPr="00397DC3" w:rsidTr="00397DC3">
        <w:trPr>
          <w:trHeight w:val="156"/>
        </w:trPr>
        <w:tc>
          <w:tcPr>
            <w:tcW w:w="77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ИТОГО: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544</w:t>
            </w:r>
          </w:p>
        </w:tc>
      </w:tr>
    </w:tbl>
    <w:p w:rsidR="00397DC3" w:rsidRPr="00397DC3" w:rsidRDefault="00397DC3" w:rsidP="0086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D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Трудоустройство выпускников 2020год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1984"/>
        <w:gridCol w:w="1843"/>
        <w:gridCol w:w="1801"/>
      </w:tblGrid>
      <w:tr w:rsidR="00397DC3" w:rsidRPr="00397DC3" w:rsidTr="00397DC3">
        <w:trPr>
          <w:trHeight w:val="584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 программы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выпускников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Очная форма</w:t>
            </w:r>
          </w:p>
        </w:tc>
        <w:tc>
          <w:tcPr>
            <w:tcW w:w="18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Заочная форма</w:t>
            </w:r>
          </w:p>
        </w:tc>
      </w:tr>
      <w:tr w:rsidR="00397DC3" w:rsidRPr="00397DC3" w:rsidTr="00397DC3">
        <w:trPr>
          <w:trHeight w:val="369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Горное дело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8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</w:tr>
      <w:tr w:rsidR="00397DC3" w:rsidRPr="00397DC3" w:rsidTr="00397DC3">
        <w:trPr>
          <w:trHeight w:val="209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Экономическая </w:t>
            </w: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безопасность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8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7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397DC3" w:rsidRPr="00286C87" w:rsidRDefault="00397DC3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1984"/>
        <w:gridCol w:w="2268"/>
        <w:gridCol w:w="1418"/>
        <w:gridCol w:w="1701"/>
      </w:tblGrid>
      <w:tr w:rsidR="00397DC3" w:rsidRPr="00397DC3" w:rsidTr="00397DC3">
        <w:trPr>
          <w:trHeight w:val="654"/>
        </w:trPr>
        <w:tc>
          <w:tcPr>
            <w:tcW w:w="22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программы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выпускников очной формы по каналам занятости</w:t>
            </w:r>
          </w:p>
        </w:tc>
      </w:tr>
      <w:tr w:rsidR="00397DC3" w:rsidRPr="00397DC3" w:rsidTr="00397DC3">
        <w:trPr>
          <w:trHeight w:val="641"/>
        </w:trPr>
        <w:tc>
          <w:tcPr>
            <w:tcW w:w="2271" w:type="dxa"/>
            <w:vMerge/>
            <w:shd w:val="clear" w:color="auto" w:fill="auto"/>
            <w:vAlign w:val="center"/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</w:p>
          <w:p w:rsid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по специальности/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7DC3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 xml:space="preserve">призыв </w:t>
            </w:r>
          </w:p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ряды  Р.А.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</w:tr>
      <w:tr w:rsidR="00397DC3" w:rsidRPr="00397DC3" w:rsidTr="00F00A7A">
        <w:trPr>
          <w:trHeight w:val="292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Горное дело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C3" w:rsidRPr="00397DC3" w:rsidTr="00397DC3">
        <w:trPr>
          <w:trHeight w:val="547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9B5" w:rsidRPr="00397DC3" w:rsidRDefault="00397DC3" w:rsidP="0086325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6C87" w:rsidRDefault="00286C8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AD7" w:rsidRDefault="00794AD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931966" w:rsidRDefault="00794AD7" w:rsidP="0086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декабрь 2020 г. подано 6 заявлений на снижение стоимости обучения за 1 семестр 2020-2021 уч. года. На основании Положения об основаниях и о порядке снижения стоимости установлено, что все представленные заявления соответствуют требованиям Положения, в том числе предусмотрено снижение стоимости обучения на 5% студентам, имеющим базу профессионального образования. </w:t>
      </w:r>
    </w:p>
    <w:p w:rsidR="00794AD7" w:rsidRDefault="00794AD7" w:rsidP="00863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снизить стоимость обучения студентам, подавшим соответствующие заявления на основании Положения об основаниях и о порядке снижения стоимости.</w:t>
      </w:r>
    </w:p>
    <w:p w:rsidR="00696FCB" w:rsidRDefault="00696FCB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DD781C" w:rsidRPr="00DD781C" w:rsidRDefault="00DD781C" w:rsidP="00DD78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81C">
        <w:rPr>
          <w:rFonts w:ascii="Times New Roman" w:hAnsi="Times New Roman"/>
          <w:sz w:val="28"/>
          <w:szCs w:val="28"/>
        </w:rPr>
        <w:t>На основании Постано</w:t>
      </w:r>
      <w:r>
        <w:rPr>
          <w:rFonts w:ascii="Times New Roman" w:hAnsi="Times New Roman"/>
          <w:sz w:val="28"/>
          <w:szCs w:val="28"/>
        </w:rPr>
        <w:t>вления Правительства Р</w:t>
      </w:r>
      <w:r w:rsidRPr="00DD781C">
        <w:rPr>
          <w:rFonts w:ascii="Times New Roman" w:hAnsi="Times New Roman"/>
          <w:sz w:val="28"/>
          <w:szCs w:val="28"/>
        </w:rPr>
        <w:t>Ф от 17 декабря 2016 г. № 1390 «О формировании стипендиал</w:t>
      </w:r>
      <w:r w:rsidRPr="00DD781C">
        <w:rPr>
          <w:rFonts w:ascii="Times New Roman" w:hAnsi="Times New Roman"/>
          <w:sz w:val="28"/>
          <w:szCs w:val="28"/>
        </w:rPr>
        <w:t xml:space="preserve">ьного фонда», в соответствии с </w:t>
      </w:r>
      <w:r w:rsidRPr="00DD781C">
        <w:rPr>
          <w:rFonts w:ascii="Times New Roman" w:hAnsi="Times New Roman"/>
          <w:sz w:val="28"/>
          <w:szCs w:val="28"/>
        </w:rPr>
        <w:t>«Положение</w:t>
      </w:r>
      <w:r w:rsidRPr="00DD781C">
        <w:rPr>
          <w:rFonts w:ascii="Times New Roman" w:hAnsi="Times New Roman"/>
          <w:sz w:val="28"/>
          <w:szCs w:val="28"/>
        </w:rPr>
        <w:t>м о стипендиальном обеспечении,</w:t>
      </w:r>
      <w:r w:rsidRPr="00DD781C">
        <w:rPr>
          <w:rFonts w:ascii="Times New Roman" w:hAnsi="Times New Roman"/>
          <w:sz w:val="28"/>
          <w:szCs w:val="28"/>
        </w:rPr>
        <w:t xml:space="preserve"> фо</w:t>
      </w:r>
      <w:r w:rsidRPr="00DD781C">
        <w:rPr>
          <w:rFonts w:ascii="Times New Roman" w:hAnsi="Times New Roman"/>
          <w:sz w:val="28"/>
          <w:szCs w:val="28"/>
        </w:rPr>
        <w:t xml:space="preserve">рмах материальной и социальной </w:t>
      </w:r>
      <w:r w:rsidRPr="00DD781C">
        <w:rPr>
          <w:rFonts w:ascii="Times New Roman" w:hAnsi="Times New Roman"/>
          <w:sz w:val="28"/>
          <w:szCs w:val="28"/>
        </w:rPr>
        <w:t xml:space="preserve">поддержки обучающихся филиала </w:t>
      </w:r>
      <w:proofErr w:type="spellStart"/>
      <w:r w:rsidRPr="00DD781C">
        <w:rPr>
          <w:rFonts w:ascii="Times New Roman" w:hAnsi="Times New Roman"/>
          <w:sz w:val="28"/>
          <w:szCs w:val="28"/>
        </w:rPr>
        <w:t>КузГТУ</w:t>
      </w:r>
      <w:proofErr w:type="spellEnd"/>
      <w:r w:rsidRPr="00DD781C">
        <w:rPr>
          <w:rFonts w:ascii="Times New Roman" w:hAnsi="Times New Roman"/>
          <w:sz w:val="28"/>
          <w:szCs w:val="28"/>
        </w:rPr>
        <w:t xml:space="preserve"> в г</w:t>
      </w:r>
      <w:r w:rsidRPr="00DD781C">
        <w:rPr>
          <w:rFonts w:ascii="Times New Roman" w:hAnsi="Times New Roman"/>
          <w:sz w:val="28"/>
          <w:szCs w:val="28"/>
        </w:rPr>
        <w:t>. Белово»  от 15 февраля 2017 г. предлагаю у</w:t>
      </w:r>
      <w:r w:rsidRPr="00DD781C">
        <w:rPr>
          <w:rFonts w:ascii="Times New Roman" w:hAnsi="Times New Roman"/>
          <w:sz w:val="28"/>
          <w:szCs w:val="28"/>
        </w:rPr>
        <w:t xml:space="preserve">становить размер стипендии для студентов очной формы обучения, обучающихся </w:t>
      </w:r>
      <w:r w:rsidRPr="00DD781C">
        <w:rPr>
          <w:rFonts w:ascii="Times New Roman" w:hAnsi="Times New Roman"/>
          <w:sz w:val="28"/>
          <w:szCs w:val="28"/>
        </w:rPr>
        <w:t xml:space="preserve">за счет бюджетных ассигнований </w:t>
      </w:r>
      <w:r w:rsidRPr="00DD781C">
        <w:rPr>
          <w:rFonts w:ascii="Times New Roman" w:hAnsi="Times New Roman"/>
          <w:sz w:val="28"/>
          <w:szCs w:val="28"/>
        </w:rPr>
        <w:t>федерально</w:t>
      </w:r>
      <w:r w:rsidRPr="00DD781C">
        <w:rPr>
          <w:rFonts w:ascii="Times New Roman" w:hAnsi="Times New Roman"/>
          <w:sz w:val="28"/>
          <w:szCs w:val="28"/>
        </w:rPr>
        <w:t xml:space="preserve">го бюджета на весенний семестр 2020-2021 учебного </w:t>
      </w:r>
      <w:r w:rsidRPr="00DD781C">
        <w:rPr>
          <w:rFonts w:ascii="Times New Roman" w:hAnsi="Times New Roman"/>
          <w:sz w:val="28"/>
          <w:szCs w:val="28"/>
        </w:rPr>
        <w:t>года</w:t>
      </w:r>
      <w:proofErr w:type="gramEnd"/>
      <w:r w:rsidRPr="00DD781C">
        <w:rPr>
          <w:rFonts w:ascii="Times New Roman" w:hAnsi="Times New Roman"/>
          <w:sz w:val="28"/>
          <w:szCs w:val="28"/>
        </w:rPr>
        <w:t xml:space="preserve">, в следующих размерах: </w:t>
      </w:r>
    </w:p>
    <w:p w:rsidR="00DD781C" w:rsidRPr="00DD781C" w:rsidRDefault="00DD781C" w:rsidP="00DD78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D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D781C">
        <w:rPr>
          <w:rFonts w:ascii="Times New Roman" w:hAnsi="Times New Roman"/>
          <w:sz w:val="28"/>
          <w:szCs w:val="28"/>
        </w:rPr>
        <w:t>осударственная ака</w:t>
      </w:r>
      <w:r w:rsidRPr="00DD781C">
        <w:rPr>
          <w:rFonts w:ascii="Times New Roman" w:hAnsi="Times New Roman"/>
          <w:sz w:val="28"/>
          <w:szCs w:val="28"/>
        </w:rPr>
        <w:t>демическая стипендия студентам,</w:t>
      </w:r>
      <w:r w:rsidRPr="00DD781C">
        <w:rPr>
          <w:rFonts w:ascii="Times New Roman" w:hAnsi="Times New Roman"/>
          <w:sz w:val="28"/>
          <w:szCs w:val="28"/>
        </w:rPr>
        <w:t xml:space="preserve"> обучающимся по программам среднег</w:t>
      </w:r>
      <w:r w:rsidRPr="00DD781C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DD781C">
        <w:rPr>
          <w:rFonts w:ascii="Times New Roman" w:hAnsi="Times New Roman"/>
          <w:sz w:val="28"/>
          <w:szCs w:val="28"/>
        </w:rPr>
        <w:t xml:space="preserve"> в размере  797,16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81C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81C">
        <w:rPr>
          <w:rFonts w:ascii="Times New Roman" w:hAnsi="Times New Roman"/>
          <w:sz w:val="28"/>
          <w:szCs w:val="28"/>
        </w:rPr>
        <w:t>- 1036,31 рублей);</w:t>
      </w:r>
    </w:p>
    <w:p w:rsidR="00DD781C" w:rsidRPr="00DD781C" w:rsidRDefault="00DD781C" w:rsidP="00DD78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D781C">
        <w:rPr>
          <w:rFonts w:ascii="Times New Roman" w:hAnsi="Times New Roman"/>
          <w:sz w:val="28"/>
          <w:szCs w:val="28"/>
        </w:rPr>
        <w:t>сем студентам, обучающимся по</w:t>
      </w:r>
      <w:r w:rsidRPr="00DD781C">
        <w:rPr>
          <w:rFonts w:ascii="Times New Roman" w:hAnsi="Times New Roman"/>
          <w:sz w:val="28"/>
          <w:szCs w:val="28"/>
        </w:rPr>
        <w:t xml:space="preserve"> программам среднего профессионального образования  </w:t>
      </w:r>
      <w:r w:rsidRPr="00DD781C">
        <w:rPr>
          <w:rFonts w:ascii="Times New Roman" w:hAnsi="Times New Roman"/>
          <w:sz w:val="28"/>
          <w:szCs w:val="28"/>
        </w:rPr>
        <w:t xml:space="preserve">за счет бюджетных ассигнований </w:t>
      </w:r>
      <w:r w:rsidRPr="00DD781C">
        <w:rPr>
          <w:rFonts w:ascii="Times New Roman" w:hAnsi="Times New Roman"/>
          <w:sz w:val="28"/>
          <w:szCs w:val="28"/>
        </w:rPr>
        <w:t>федерального бюджета, имеющим по итогам зимней сессии оценки только «отлично»  назначить дополнительную стипендию в размере 25% от установленной государственной академической стипендии, в размере 199,29,0 рублей (с учетом районно</w:t>
      </w:r>
      <w:r w:rsidRPr="00DD781C">
        <w:rPr>
          <w:rFonts w:ascii="Times New Roman" w:hAnsi="Times New Roman"/>
          <w:sz w:val="28"/>
          <w:szCs w:val="28"/>
        </w:rPr>
        <w:t>го коэффициента- 259,09 рублей)</w:t>
      </w:r>
      <w:r w:rsidRPr="00DD781C">
        <w:rPr>
          <w:rFonts w:ascii="Times New Roman" w:hAnsi="Times New Roman"/>
          <w:sz w:val="28"/>
          <w:szCs w:val="28"/>
        </w:rPr>
        <w:t>;</w:t>
      </w:r>
    </w:p>
    <w:p w:rsidR="00DD781C" w:rsidRPr="00DD781C" w:rsidRDefault="00DD781C" w:rsidP="00DD78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D781C">
        <w:rPr>
          <w:rFonts w:ascii="Times New Roman" w:hAnsi="Times New Roman"/>
          <w:sz w:val="28"/>
          <w:szCs w:val="28"/>
        </w:rPr>
        <w:t xml:space="preserve">осударственная </w:t>
      </w:r>
      <w:r w:rsidRPr="00DD781C">
        <w:rPr>
          <w:rFonts w:ascii="Times New Roman" w:hAnsi="Times New Roman"/>
          <w:sz w:val="28"/>
          <w:szCs w:val="28"/>
        </w:rPr>
        <w:t>социальная стипендия студентам,</w:t>
      </w:r>
      <w:r w:rsidRPr="00DD781C">
        <w:rPr>
          <w:rFonts w:ascii="Times New Roman" w:hAnsi="Times New Roman"/>
          <w:sz w:val="28"/>
          <w:szCs w:val="28"/>
        </w:rPr>
        <w:t xml:space="preserve"> обучающимся по программам среднего профессионального образования в размере 1195,74рублей (с учетом районного коэффициента –1554,46 рублей).</w:t>
      </w:r>
    </w:p>
    <w:p w:rsidR="00F00A7A" w:rsidRPr="00DD781C" w:rsidRDefault="00F00A7A" w:rsidP="00DD78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A7A" w:rsidRDefault="00F00A7A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0A7A" w:rsidRPr="00F00A7A" w:rsidRDefault="00F00A7A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7A">
        <w:rPr>
          <w:rFonts w:ascii="Times New Roman" w:hAnsi="Times New Roman" w:cs="Times New Roman"/>
          <w:b/>
          <w:sz w:val="28"/>
          <w:szCs w:val="28"/>
        </w:rPr>
        <w:t xml:space="preserve">Исходя из </w:t>
      </w:r>
      <w:proofErr w:type="gramStart"/>
      <w:r w:rsidRPr="00F00A7A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F00A7A">
        <w:rPr>
          <w:rFonts w:ascii="Times New Roman" w:hAnsi="Times New Roman" w:cs="Times New Roman"/>
          <w:b/>
          <w:sz w:val="28"/>
          <w:szCs w:val="28"/>
        </w:rPr>
        <w:t>, Ученый совет решил:</w:t>
      </w:r>
    </w:p>
    <w:p w:rsidR="00F00A7A" w:rsidRPr="00F00A7A" w:rsidRDefault="00F00A7A" w:rsidP="008632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sz w:val="28"/>
          <w:szCs w:val="28"/>
        </w:rPr>
        <w:t xml:space="preserve">Признать состояние учебно-методического обеспечения образовательных программ в филиале </w:t>
      </w:r>
      <w:proofErr w:type="spellStart"/>
      <w:r w:rsidRPr="00F00A7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F00A7A">
        <w:rPr>
          <w:rFonts w:ascii="Times New Roman" w:hAnsi="Times New Roman" w:cs="Times New Roman"/>
          <w:sz w:val="28"/>
          <w:szCs w:val="28"/>
        </w:rPr>
        <w:t xml:space="preserve"> в г. Белово удовлетворительным. </w:t>
      </w:r>
    </w:p>
    <w:p w:rsidR="00F00A7A" w:rsidRPr="00F00A7A" w:rsidRDefault="00F00A7A" w:rsidP="0086325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sz w:val="28"/>
          <w:szCs w:val="28"/>
        </w:rPr>
        <w:t>Продолжить работу по формированию УМКД по обеспечению недостающих методических материалов (выполнение лабораторных/практических работ, самостоятельной работе).</w:t>
      </w:r>
    </w:p>
    <w:p w:rsidR="00F00A7A" w:rsidRPr="00F00A7A" w:rsidRDefault="00F00A7A" w:rsidP="00F00A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sz w:val="28"/>
          <w:szCs w:val="28"/>
        </w:rPr>
        <w:t>Продолжить формирование тестовой базы дисциплин.</w:t>
      </w:r>
    </w:p>
    <w:p w:rsidR="00F00A7A" w:rsidRPr="00F00A7A" w:rsidRDefault="00F00A7A" w:rsidP="00F00A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sz w:val="28"/>
          <w:szCs w:val="28"/>
        </w:rPr>
        <w:t xml:space="preserve">Заведующему кафедрой  </w:t>
      </w:r>
      <w:proofErr w:type="spellStart"/>
      <w:r w:rsidRPr="00F00A7A">
        <w:rPr>
          <w:rFonts w:ascii="Times New Roman" w:hAnsi="Times New Roman" w:cs="Times New Roman"/>
          <w:sz w:val="28"/>
          <w:szCs w:val="28"/>
        </w:rPr>
        <w:t>ГДиТБ</w:t>
      </w:r>
      <w:proofErr w:type="spellEnd"/>
      <w:r w:rsidRPr="00F00A7A">
        <w:rPr>
          <w:rFonts w:ascii="Times New Roman" w:hAnsi="Times New Roman" w:cs="Times New Roman"/>
          <w:sz w:val="28"/>
          <w:szCs w:val="28"/>
        </w:rPr>
        <w:t xml:space="preserve"> обеспечить наличие всех методических материалов по выполнению КП/</w:t>
      </w:r>
      <w:proofErr w:type="gramStart"/>
      <w:r w:rsidRPr="00F00A7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00A7A">
        <w:rPr>
          <w:rFonts w:ascii="Times New Roman" w:hAnsi="Times New Roman" w:cs="Times New Roman"/>
          <w:sz w:val="28"/>
          <w:szCs w:val="28"/>
        </w:rPr>
        <w:t xml:space="preserve"> ОПОП Горное дело «Горные машины и оборудование», «Открытые горные работы».</w:t>
      </w:r>
    </w:p>
    <w:p w:rsidR="00F00A7A" w:rsidRDefault="00F00A7A" w:rsidP="00F00A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sz w:val="28"/>
          <w:szCs w:val="28"/>
        </w:rPr>
        <w:t>В срок до мая 2021 года подготовить ФОС ГИА для ОПОП «</w:t>
      </w:r>
      <w:proofErr w:type="spellStart"/>
      <w:r w:rsidRPr="00F00A7A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00A7A">
        <w:rPr>
          <w:rFonts w:ascii="Times New Roman" w:hAnsi="Times New Roman" w:cs="Times New Roman"/>
          <w:sz w:val="28"/>
          <w:szCs w:val="28"/>
        </w:rPr>
        <w:t xml:space="preserve"> безопасность», Горное дело «Горные машины и оборудование».</w:t>
      </w:r>
    </w:p>
    <w:p w:rsidR="00F00A7A" w:rsidRDefault="00F00A7A" w:rsidP="00F00A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отдела дополнительного образования удовлетворительной.</w:t>
      </w:r>
    </w:p>
    <w:p w:rsidR="00F00A7A" w:rsidRPr="00F00A7A" w:rsidRDefault="00F00A7A" w:rsidP="00F00A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расширения спектра образовательных программ дополнительного образования.</w:t>
      </w:r>
    </w:p>
    <w:p w:rsidR="00F00A7A" w:rsidRPr="0086325E" w:rsidRDefault="0086325E" w:rsidP="00F00A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обучение.</w:t>
      </w:r>
    </w:p>
    <w:p w:rsidR="0086325E" w:rsidRPr="0086325E" w:rsidRDefault="0086325E" w:rsidP="0086325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за счет бюджетных ассигнований федерального бюджета на 2020-2021 уч. г., в предложенных размерах.</w:t>
      </w:r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03C" w:rsidRPr="00A91E3C" w:rsidRDefault="00F00A7A" w:rsidP="00A9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  <w:bookmarkStart w:id="0" w:name="_GoBack"/>
      <w:bookmarkEnd w:id="0"/>
    </w:p>
    <w:sectPr w:rsidR="0011003C" w:rsidRPr="00A91E3C" w:rsidSect="00931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3A1"/>
    <w:multiLevelType w:val="hybridMultilevel"/>
    <w:tmpl w:val="90D2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4635"/>
    <w:multiLevelType w:val="multilevel"/>
    <w:tmpl w:val="5506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11003C"/>
    <w:rsid w:val="00264B53"/>
    <w:rsid w:val="00286C87"/>
    <w:rsid w:val="00330701"/>
    <w:rsid w:val="00397DC3"/>
    <w:rsid w:val="004A411D"/>
    <w:rsid w:val="005519B5"/>
    <w:rsid w:val="00552D10"/>
    <w:rsid w:val="006669C7"/>
    <w:rsid w:val="00696FCB"/>
    <w:rsid w:val="006B71B0"/>
    <w:rsid w:val="00794AD7"/>
    <w:rsid w:val="0086325E"/>
    <w:rsid w:val="00871E3F"/>
    <w:rsid w:val="008F75CD"/>
    <w:rsid w:val="00931966"/>
    <w:rsid w:val="00A000A5"/>
    <w:rsid w:val="00A3771E"/>
    <w:rsid w:val="00A73272"/>
    <w:rsid w:val="00A91E3C"/>
    <w:rsid w:val="00AA269B"/>
    <w:rsid w:val="00B42BAD"/>
    <w:rsid w:val="00B91B71"/>
    <w:rsid w:val="00DD781C"/>
    <w:rsid w:val="00F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0A7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0A7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2019-08-30T01:14:00Z</dcterms:created>
  <dcterms:modified xsi:type="dcterms:W3CDTF">2021-01-21T07:50:00Z</dcterms:modified>
</cp:coreProperties>
</file>